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keepLines w:val="0"/>
        <w:tabs>
          <w:tab w:val="left" w:leader="none" w:pos="0"/>
        </w:tabs>
        <w:spacing w:after="0" w:before="0" w:line="240" w:lineRule="auto"/>
        <w:rPr>
          <w:b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2"/>
        <w:keepLines w:val="0"/>
        <w:tabs>
          <w:tab w:val="left" w:leader="none" w:pos="0"/>
        </w:tabs>
        <w:spacing w:after="0" w:before="0" w:line="240" w:lineRule="auto"/>
        <w:jc w:val="both"/>
        <w:rPr>
          <w:b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2"/>
        <w:keepLines w:val="0"/>
        <w:tabs>
          <w:tab w:val="left" w:leader="none" w:pos="0"/>
        </w:tabs>
        <w:spacing w:after="0" w:before="0" w:line="240" w:lineRule="auto"/>
        <w:jc w:val="center"/>
        <w:rPr>
          <w:rFonts w:ascii="Calibri" w:cs="Calibri" w:eastAsia="Calibri" w:hAnsi="Calibri"/>
          <w:b w:val="1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u w:val="single"/>
          <w:rtl w:val="0"/>
        </w:rPr>
        <w:t xml:space="preserve">ANEXO III DO TERMO DE REFERÊNCIA</w:t>
      </w:r>
    </w:p>
    <w:p w:rsidR="00000000" w:rsidDel="00000000" w:rsidP="00000000" w:rsidRDefault="00000000" w:rsidRPr="00000000" w14:paraId="00000004">
      <w:pPr>
        <w:spacing w:after="120" w:before="120" w:lineRule="auto"/>
        <w:ind w:firstLine="60"/>
        <w:jc w:val="center"/>
        <w:rPr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sz w:val="32"/>
          <w:szCs w:val="32"/>
          <w:rtl w:val="0"/>
        </w:rPr>
        <w:t xml:space="preserve">CADERNO DE MÉTRICAS TÉCNICAS</w:t>
      </w:r>
      <w:r w:rsidDel="00000000" w:rsidR="00000000" w:rsidRPr="00000000">
        <w:rPr>
          <w:b w:val="1"/>
          <w:rtl w:val="0"/>
        </w:rPr>
        <w:t xml:space="preserve"> </w:t>
      </w:r>
    </w:p>
    <w:tbl>
      <w:tblPr>
        <w:tblStyle w:val="Table1"/>
        <w:tblW w:w="904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785"/>
        <w:gridCol w:w="1575"/>
        <w:gridCol w:w="5685"/>
        <w:tblGridChange w:id="0">
          <w:tblGrid>
            <w:gridCol w:w="1785"/>
            <w:gridCol w:w="1575"/>
            <w:gridCol w:w="5685"/>
          </w:tblGrid>
        </w:tblGridChange>
      </w:tblGrid>
      <w:tr>
        <w:trPr>
          <w:cantSplit w:val="0"/>
          <w:trHeight w:val="830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spacing w:after="120" w:before="120" w:lineRule="auto"/>
              <w:ind w:left="300" w:firstLine="6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sz w:val="32"/>
                <w:szCs w:val="32"/>
                <w:rtl w:val="0"/>
              </w:rPr>
              <w:t xml:space="preserve">01)</w:t>
            </w:r>
            <w:r w:rsidDel="00000000" w:rsidR="00000000" w:rsidRPr="00000000">
              <w:rPr>
                <w:b w:val="1"/>
                <w:rtl w:val="0"/>
              </w:rPr>
              <w:t xml:space="preserve"> Indicador Disponibilidade Mensal do Enlace (IDM)</w:t>
            </w:r>
          </w:p>
        </w:tc>
      </w:tr>
      <w:tr>
        <w:trPr>
          <w:cantSplit w:val="0"/>
          <w:trHeight w:val="126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spacing w:after="120" w:before="120" w:lineRule="auto"/>
              <w:ind w:left="300" w:firstLine="0"/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Descrição do Indicador</w:t>
            </w:r>
          </w:p>
        </w:tc>
        <w:tc>
          <w:tcPr>
            <w:gridSpan w:val="2"/>
            <w:tcBorders>
              <w:left w:color="000000" w:space="0" w:sz="8" w:val="single"/>
              <w:bottom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spacing w:after="120" w:before="120" w:lineRule="auto"/>
              <w:ind w:left="300" w:firstLine="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Percentual de tempo, durante o período do mês de operação, em que pelo menos um dos circuitos venha a permanecer em condições normais de funcionamento.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25.1782226562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spacing w:after="120" w:before="120" w:lineRule="auto"/>
              <w:ind w:left="300" w:firstLine="0"/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Fórmula de Cálculo</w:t>
            </w:r>
          </w:p>
        </w:tc>
        <w:tc>
          <w:tcPr>
            <w:gridSpan w:val="2"/>
            <w:tcBorders>
              <w:left w:color="000000" w:space="0" w:sz="8" w:val="single"/>
              <w:bottom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spacing w:after="120" w:before="120" w:lineRule="auto"/>
              <w:ind w:left="300" w:firstLine="60"/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IDM=[(To-Ti)/To] * 100</w:t>
            </w:r>
          </w:p>
          <w:p w:rsidR="00000000" w:rsidDel="00000000" w:rsidP="00000000" w:rsidRDefault="00000000" w:rsidRPr="00000000" w14:paraId="0000000D">
            <w:pPr>
              <w:spacing w:after="120" w:before="120" w:lineRule="auto"/>
              <w:ind w:left="300" w:firstLine="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Onde: IDM = índice de disponibilidade mensal do enlace em %</w:t>
            </w:r>
          </w:p>
          <w:p w:rsidR="00000000" w:rsidDel="00000000" w:rsidP="00000000" w:rsidRDefault="00000000" w:rsidRPr="00000000" w14:paraId="0000000E">
            <w:pPr>
              <w:spacing w:after="120" w:before="120" w:lineRule="auto"/>
              <w:ind w:left="300" w:firstLine="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To = período de operação (um mês) em minutos.</w:t>
            </w:r>
          </w:p>
          <w:p w:rsidR="00000000" w:rsidDel="00000000" w:rsidP="00000000" w:rsidRDefault="00000000" w:rsidRPr="00000000" w14:paraId="0000000F">
            <w:pPr>
              <w:spacing w:after="120" w:before="120" w:lineRule="auto"/>
              <w:ind w:left="300" w:firstLine="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Ti = somatório dos tempos de inoperância durante o período de operação (um mês) em minutos.</w:t>
            </w:r>
          </w:p>
          <w:p w:rsidR="00000000" w:rsidDel="00000000" w:rsidP="00000000" w:rsidRDefault="00000000" w:rsidRPr="00000000" w14:paraId="00000010">
            <w:pPr>
              <w:spacing w:after="120" w:before="120" w:lineRule="auto"/>
              <w:ind w:left="300" w:firstLine="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No caso de inoperância reincidente num período inferior a 1 (uma) hora, contado a partir do restabelecimento da última inoperância do enlace, considerar-se-á como tempo de indisponibilidade do enlace o início da primeira inoperância até o final da última inoperância, quando o enlace estiver totalmente operacional.</w:t>
            </w:r>
          </w:p>
        </w:tc>
      </w:tr>
      <w:tr>
        <w:trPr>
          <w:cantSplit w:val="0"/>
          <w:trHeight w:val="99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spacing w:after="120" w:before="120" w:lineRule="auto"/>
              <w:ind w:left="300" w:firstLine="0"/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Periodicidade da Aferição</w:t>
            </w:r>
          </w:p>
        </w:tc>
        <w:tc>
          <w:tcPr>
            <w:gridSpan w:val="2"/>
            <w:tcBorders>
              <w:left w:color="000000" w:space="0" w:sz="8" w:val="single"/>
              <w:bottom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spacing w:after="120" w:before="120" w:lineRule="auto"/>
              <w:ind w:left="300" w:firstLine="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Mensal</w:t>
            </w:r>
          </w:p>
        </w:tc>
      </w:tr>
      <w:tr>
        <w:trPr>
          <w:cantSplit w:val="0"/>
          <w:trHeight w:val="126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spacing w:after="120" w:before="120" w:lineRule="auto"/>
              <w:ind w:left="300" w:firstLine="0"/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Limiar de Qualidade Aceitável</w:t>
            </w:r>
          </w:p>
        </w:tc>
        <w:tc>
          <w:tcPr>
            <w:gridSpan w:val="2"/>
            <w:tcBorders>
              <w:left w:color="000000" w:space="0" w:sz="8" w:val="single"/>
              <w:bottom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spacing w:after="120" w:before="120" w:lineRule="auto"/>
              <w:ind w:left="30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99,95%.</w:t>
            </w:r>
          </w:p>
        </w:tc>
      </w:tr>
      <w:tr>
        <w:trPr>
          <w:cantSplit w:val="0"/>
          <w:trHeight w:val="126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spacing w:after="120" w:before="120" w:lineRule="auto"/>
              <w:ind w:left="300" w:firstLine="0"/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Relatórios de Níveis de Serviços</w:t>
            </w:r>
          </w:p>
        </w:tc>
        <w:tc>
          <w:tcPr>
            <w:gridSpan w:val="2"/>
            <w:tcBorders>
              <w:left w:color="000000" w:space="0" w:sz="8" w:val="single"/>
              <w:bottom w:color="000000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spacing w:after="120" w:before="120" w:lineRule="auto"/>
              <w:ind w:left="300" w:firstLine="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A contratada deverá fornecer, quando solicitada, relatório mensal para este indicador para dirimir dúvidas na apuração do mesmo.</w:t>
            </w:r>
          </w:p>
        </w:tc>
      </w:tr>
    </w:tbl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jc w:val="center"/>
      <w:rPr/>
    </w:pPr>
    <w:r w:rsidDel="00000000" w:rsidR="00000000" w:rsidRPr="00000000">
      <w:rPr/>
      <w:drawing>
        <wp:inline distB="114300" distT="114300" distL="114300" distR="114300">
          <wp:extent cx="690563" cy="718749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90563" cy="718749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D">
    <w:pPr>
      <w:jc w:val="center"/>
      <w:rPr/>
    </w:pPr>
    <w:r w:rsidDel="00000000" w:rsidR="00000000" w:rsidRPr="00000000">
      <w:rPr>
        <w:rtl w:val="0"/>
      </w:rPr>
      <w:t xml:space="preserve">PODER JUDICIÁRIO</w:t>
    </w:r>
  </w:p>
  <w:p w:rsidR="00000000" w:rsidDel="00000000" w:rsidP="00000000" w:rsidRDefault="00000000" w:rsidRPr="00000000" w14:paraId="0000001E">
    <w:pPr>
      <w:jc w:val="center"/>
      <w:rPr/>
    </w:pPr>
    <w:r w:rsidDel="00000000" w:rsidR="00000000" w:rsidRPr="00000000">
      <w:rPr>
        <w:rtl w:val="0"/>
      </w:rPr>
      <w:t xml:space="preserve">JUSTIÇA DO TRABALHO</w:t>
    </w:r>
  </w:p>
  <w:p w:rsidR="00000000" w:rsidDel="00000000" w:rsidP="00000000" w:rsidRDefault="00000000" w:rsidRPr="00000000" w14:paraId="0000001F">
    <w:pPr>
      <w:jc w:val="center"/>
      <w:rPr/>
    </w:pPr>
    <w:r w:rsidDel="00000000" w:rsidR="00000000" w:rsidRPr="00000000">
      <w:rPr>
        <w:rtl w:val="0"/>
      </w:rPr>
      <w:t xml:space="preserve">TRIBUNAL REGIONAL DO TRABALHO DA 7ª REGIÃO</w:t>
    </w:r>
  </w:p>
  <w:p w:rsidR="00000000" w:rsidDel="00000000" w:rsidP="00000000" w:rsidRDefault="00000000" w:rsidRPr="00000000" w14:paraId="00000020">
    <w:pPr>
      <w:jc w:val="center"/>
      <w:rPr/>
    </w:pPr>
    <w:r w:rsidDel="00000000" w:rsidR="00000000" w:rsidRPr="00000000">
      <w:rPr>
        <w:rFonts w:ascii="Calibri" w:cs="Calibri" w:eastAsia="Calibri" w:hAnsi="Calibri"/>
        <w:b w:val="1"/>
        <w:sz w:val="24"/>
        <w:szCs w:val="24"/>
        <w:rtl w:val="0"/>
      </w:rPr>
      <w:t xml:space="preserve">SECRETARIA DE TECNOLOGIA DA INFORMAÇÃO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